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ayout w:type="fixed"/>
        <w:tblLook w:val="04A0" w:firstRow="1" w:lastRow="0" w:firstColumn="1" w:lastColumn="0" w:noHBand="0" w:noVBand="1"/>
      </w:tblPr>
      <w:tblGrid>
        <w:gridCol w:w="854"/>
        <w:gridCol w:w="4245"/>
        <w:gridCol w:w="1418"/>
        <w:gridCol w:w="8042"/>
      </w:tblGrid>
      <w:tr w:rsidR="00DC6E91" w:rsidRPr="00390B02" w:rsidTr="00EE2642">
        <w:trPr>
          <w:trHeight w:val="405"/>
        </w:trPr>
        <w:tc>
          <w:tcPr>
            <w:tcW w:w="5000" w:type="pct"/>
            <w:gridSpan w:val="4"/>
            <w:noWrap/>
            <w:hideMark/>
          </w:tcPr>
          <w:p w:rsidR="00DC6E91" w:rsidRPr="00390B02" w:rsidRDefault="00DC6E91" w:rsidP="00EE2642">
            <w:pPr>
              <w:jc w:val="center"/>
              <w:rPr>
                <w:rFonts w:ascii="Times New Roman" w:hAnsi="Times New Roman" w:cs="Times New Roman"/>
                <w:b/>
                <w:bCs/>
                <w:sz w:val="20"/>
              </w:rPr>
            </w:pPr>
            <w:r w:rsidRPr="00390B02">
              <w:rPr>
                <w:rFonts w:ascii="Times New Roman" w:hAnsi="Times New Roman" w:cs="Times New Roman"/>
                <w:b/>
                <w:bCs/>
                <w:sz w:val="20"/>
              </w:rPr>
              <w:t>Доклад о виде государственного контроля (надзора), муниципального контроля</w:t>
            </w:r>
          </w:p>
        </w:tc>
      </w:tr>
      <w:tr w:rsidR="00DC6E91" w:rsidRPr="00390B02" w:rsidTr="00EE2642">
        <w:trPr>
          <w:trHeight w:val="315"/>
        </w:trPr>
        <w:tc>
          <w:tcPr>
            <w:tcW w:w="5000" w:type="pct"/>
            <w:gridSpan w:val="4"/>
            <w:noWrap/>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 xml:space="preserve">Наименование вида государственного контроля (надзора), муниципального контроля - </w:t>
            </w:r>
            <w:r w:rsidRPr="00390B02">
              <w:rPr>
                <w:rFonts w:ascii="Times New Roman" w:hAnsi="Times New Roman" w:cs="Times New Roman"/>
                <w:bCs/>
                <w:i/>
                <w:sz w:val="20"/>
              </w:rPr>
              <w:t>Муниципальный жилищный контроль</w:t>
            </w:r>
          </w:p>
        </w:tc>
      </w:tr>
      <w:tr w:rsidR="00DC6E91" w:rsidRPr="00390B02" w:rsidTr="00EE2642">
        <w:trPr>
          <w:trHeight w:val="315"/>
        </w:trPr>
        <w:tc>
          <w:tcPr>
            <w:tcW w:w="5000" w:type="pct"/>
            <w:gridSpan w:val="4"/>
            <w:noWrap/>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 xml:space="preserve">Наименование органа исполнительной власти – </w:t>
            </w:r>
            <w:r w:rsidRPr="00390B02">
              <w:rPr>
                <w:rFonts w:ascii="Times New Roman" w:hAnsi="Times New Roman" w:cs="Times New Roman"/>
                <w:bCs/>
                <w:i/>
                <w:sz w:val="20"/>
              </w:rPr>
              <w:t>Администрация Судиславского сельского поселения</w:t>
            </w:r>
          </w:p>
        </w:tc>
      </w:tr>
      <w:tr w:rsidR="00DC6E91" w:rsidRPr="00390B02" w:rsidTr="00EE2642">
        <w:trPr>
          <w:trHeight w:val="315"/>
        </w:trPr>
        <w:tc>
          <w:tcPr>
            <w:tcW w:w="5000" w:type="pct"/>
            <w:gridSpan w:val="4"/>
            <w:noWrap/>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 xml:space="preserve">Субъект Российской Федерации  - </w:t>
            </w:r>
            <w:r w:rsidRPr="00390B02">
              <w:rPr>
                <w:rFonts w:ascii="Times New Roman" w:hAnsi="Times New Roman" w:cs="Times New Roman"/>
                <w:bCs/>
                <w:i/>
                <w:sz w:val="20"/>
              </w:rPr>
              <w:t>Костромская область</w:t>
            </w:r>
          </w:p>
        </w:tc>
      </w:tr>
      <w:tr w:rsidR="00DC6E91" w:rsidRPr="00390B02" w:rsidTr="00DC6E91">
        <w:trPr>
          <w:trHeight w:val="300"/>
        </w:trPr>
        <w:tc>
          <w:tcPr>
            <w:tcW w:w="1751" w:type="pct"/>
            <w:gridSpan w:val="2"/>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487"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Закон № 248-ФЗ</w:t>
            </w:r>
          </w:p>
        </w:tc>
        <w:tc>
          <w:tcPr>
            <w:tcW w:w="2762"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Закон № 294-ФЗ</w:t>
            </w:r>
          </w:p>
        </w:tc>
      </w:tr>
      <w:tr w:rsidR="00DC6E91" w:rsidRPr="00390B02" w:rsidTr="00EE2642">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I</w:t>
            </w:r>
          </w:p>
        </w:tc>
        <w:tc>
          <w:tcPr>
            <w:tcW w:w="4707" w:type="pct"/>
            <w:gridSpan w:val="3"/>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Общие сведения о виде и организации осуществления государственного контроля (надзора), муниципального контроля</w:t>
            </w:r>
          </w:p>
        </w:tc>
      </w:tr>
      <w:tr w:rsidR="00DC6E91" w:rsidRPr="00390B02" w:rsidTr="00DC6E91">
        <w:trPr>
          <w:trHeight w:val="66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Наименование вида государственного контроля (надзора), муниципального контроля </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Муниципальный жилищный контроль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Муниципальный жилищный контроль </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Период осуществления вида государственного контроля (надзора), муниципального контроля</w:t>
            </w:r>
          </w:p>
        </w:tc>
        <w:tc>
          <w:tcPr>
            <w:tcW w:w="487"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01.01.2022</w:t>
            </w:r>
          </w:p>
        </w:tc>
        <w:tc>
          <w:tcPr>
            <w:tcW w:w="2762"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01.01.2021 31.12.2021</w:t>
            </w:r>
          </w:p>
        </w:tc>
      </w:tr>
      <w:tr w:rsidR="00DC6E91" w:rsidRPr="00390B02" w:rsidTr="00DC6E91">
        <w:trPr>
          <w:trHeight w:val="153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Решение совета депутатов Судиславского сельского поселения от 24.09.2021 г. № 26</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Решение Совет депутатов Судиславского сельского поселения 26.10.2018 № 33</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об организационной структуре и системе управления органов государственного контроля (надзора), муниципального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 Муниципальный жилищный контроль на территории Судиславского сельского поселения </w:t>
            </w:r>
            <w:proofErr w:type="gramStart"/>
            <w:r w:rsidRPr="00390B02">
              <w:rPr>
                <w:rFonts w:ascii="Times New Roman" w:hAnsi="Times New Roman" w:cs="Times New Roman"/>
                <w:sz w:val="20"/>
              </w:rPr>
              <w:t>осуществляется  администрацией</w:t>
            </w:r>
            <w:proofErr w:type="gramEnd"/>
            <w:r w:rsidRPr="00390B02">
              <w:rPr>
                <w:rFonts w:ascii="Times New Roman" w:hAnsi="Times New Roman" w:cs="Times New Roman"/>
                <w:sz w:val="20"/>
              </w:rPr>
              <w:t xml:space="preserve"> Судиславского сельского поселения (далее - уполномоченный орган), должностные лица которой являются муниципальными </w:t>
            </w:r>
            <w:r>
              <w:rPr>
                <w:rFonts w:ascii="Times New Roman" w:hAnsi="Times New Roman" w:cs="Times New Roman"/>
                <w:sz w:val="20"/>
              </w:rPr>
              <w:t>инспекторами</w:t>
            </w:r>
          </w:p>
          <w:p w:rsidR="00DC6E91" w:rsidRPr="00390B02" w:rsidRDefault="00DC6E91" w:rsidP="00EE2642">
            <w:pPr>
              <w:rPr>
                <w:rFonts w:ascii="Times New Roman" w:hAnsi="Times New Roman" w:cs="Times New Roman"/>
                <w:sz w:val="20"/>
              </w:rPr>
            </w:pP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предмете вида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1) к использованию и сохранности муниципального жилищного фонда, в том числе требований к муниципальным жилым помещениям Судиславского сельского поселения, их использованию и содержанию;</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Судиславского сельского поселения;</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Судиславского сельского поселения;</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lastRenderedPageBreak/>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Судиславского сельского поселения;</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5) к предоставлению коммунальных услуг пользователям муниципальных жилых помещений;</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6) энергетической эффективности и оснащенности муниципальных жилых помещений приборами учета используемых энергетических ресурсов.</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7) к предоставлению жилых помещений в наемных домах социального использования, находящихся в муниципальной собственности муниципального образования.</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6</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об объектах вида контроля и организации их учета</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 Муниципальный жилищный фонд, </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общее имущество собственников помещений в многоквартирных домах, в которых имеются жилые помещения, находящиеся в собственности Судиславского сельского поселения;</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деятельность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Судиславского сельского поселения</w:t>
            </w:r>
          </w:p>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деятельность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Судиславского сельского поселения</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7</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ключевых показателях вида контроля и их целевых (плановых) значениях</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r w:rsidRPr="00F66B79">
              <w:rPr>
                <w:rFonts w:ascii="Times New Roman" w:hAnsi="Times New Roman" w:cs="Times New Roman"/>
                <w:sz w:val="20"/>
              </w:rPr>
              <w:t>Выявление нарушений осуществляется в результате проведения плановых и внеплановых проверок</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8</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Нет</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9</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проведении информирования и иных видов профилактических мероприятий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b/>
                <w:sz w:val="20"/>
                <w:u w:val="single"/>
              </w:rPr>
            </w:pPr>
            <w:r w:rsidRPr="00390B02">
              <w:rPr>
                <w:rFonts w:ascii="Times New Roman" w:hAnsi="Times New Roman" w:cs="Times New Roman"/>
                <w:sz w:val="20"/>
              </w:rPr>
              <w:t> </w:t>
            </w:r>
            <w:r w:rsidRPr="00390B02">
              <w:rPr>
                <w:rFonts w:ascii="Times New Roman" w:hAnsi="Times New Roman" w:cs="Times New Roman"/>
                <w:sz w:val="20"/>
                <w:u w:val="single"/>
                <w:lang w:val="en-US"/>
              </w:rPr>
              <w:t>http</w:t>
            </w:r>
            <w:r w:rsidRPr="00390B02">
              <w:rPr>
                <w:rFonts w:ascii="Times New Roman" w:hAnsi="Times New Roman" w:cs="Times New Roman"/>
                <w:sz w:val="20"/>
                <w:u w:val="single"/>
              </w:rPr>
              <w:t>://</w:t>
            </w:r>
            <w:r w:rsidRPr="00390B02">
              <w:rPr>
                <w:rFonts w:ascii="Times New Roman" w:hAnsi="Times New Roman" w:cs="Times New Roman"/>
                <w:sz w:val="20"/>
                <w:u w:val="single"/>
                <w:lang w:val="en-US"/>
              </w:rPr>
              <w:t>www</w:t>
            </w:r>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sydislavadm</w:t>
            </w:r>
            <w:proofErr w:type="spellEnd"/>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ru</w:t>
            </w:r>
            <w:proofErr w:type="spellEnd"/>
          </w:p>
          <w:p w:rsidR="00DC6E91" w:rsidRPr="00390B02" w:rsidRDefault="00DC6E91" w:rsidP="00EE2642">
            <w:pPr>
              <w:rPr>
                <w:rFonts w:ascii="Times New Roman" w:hAnsi="Times New Roman" w:cs="Times New Roman"/>
                <w:sz w:val="20"/>
              </w:rPr>
            </w:pP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10</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применении независимой оценки соблюдения обязательных требований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нет</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системе контрольных (надзорных) мероприятий, основаниях их проведения, о контрольных (надзорных) действиях</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нет</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12</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об осуществлении специальных режимов государственного контроля (надзора)</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Нет</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13</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системе оценки и управления рисками причинения вреда (ущерба) охраняемым законом ценностям</w:t>
            </w:r>
          </w:p>
        </w:tc>
        <w:tc>
          <w:tcPr>
            <w:tcW w:w="487"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 </w:t>
            </w:r>
          </w:p>
        </w:tc>
        <w:tc>
          <w:tcPr>
            <w:tcW w:w="2762"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 нет</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14</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межведомственном взаимодействии при осуществлении вида контроля</w:t>
            </w:r>
          </w:p>
        </w:tc>
        <w:tc>
          <w:tcPr>
            <w:tcW w:w="487" w:type="pct"/>
            <w:noWrap/>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При осуществлении муниципального жилищного контроля уполномоченный орган взаимодействует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15</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об информационных системах, применяемых при осуществлении вида контроля</w:t>
            </w:r>
          </w:p>
        </w:tc>
        <w:tc>
          <w:tcPr>
            <w:tcW w:w="487" w:type="pct"/>
            <w:noWrap/>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 Сайт администрации </w:t>
            </w:r>
            <w:r w:rsidRPr="00390B02">
              <w:rPr>
                <w:rFonts w:ascii="Times New Roman" w:hAnsi="Times New Roman" w:cs="Times New Roman"/>
                <w:sz w:val="20"/>
                <w:u w:val="single"/>
                <w:lang w:val="en-US"/>
              </w:rPr>
              <w:t>http</w:t>
            </w:r>
            <w:r w:rsidRPr="00390B02">
              <w:rPr>
                <w:rFonts w:ascii="Times New Roman" w:hAnsi="Times New Roman" w:cs="Times New Roman"/>
                <w:sz w:val="20"/>
                <w:u w:val="single"/>
              </w:rPr>
              <w:t>://</w:t>
            </w:r>
            <w:r w:rsidRPr="00390B02">
              <w:rPr>
                <w:rFonts w:ascii="Times New Roman" w:hAnsi="Times New Roman" w:cs="Times New Roman"/>
                <w:sz w:val="20"/>
                <w:u w:val="single"/>
                <w:lang w:val="en-US"/>
              </w:rPr>
              <w:t>www</w:t>
            </w:r>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sydislavadm</w:t>
            </w:r>
            <w:proofErr w:type="spellEnd"/>
            <w:r w:rsidRPr="00390B02">
              <w:rPr>
                <w:rFonts w:ascii="Times New Roman" w:hAnsi="Times New Roman" w:cs="Times New Roman"/>
                <w:sz w:val="20"/>
                <w:u w:val="single"/>
              </w:rPr>
              <w:t>.</w:t>
            </w:r>
            <w:proofErr w:type="spellStart"/>
            <w:r w:rsidRPr="00390B02">
              <w:rPr>
                <w:rFonts w:ascii="Times New Roman" w:hAnsi="Times New Roman" w:cs="Times New Roman"/>
                <w:sz w:val="20"/>
                <w:u w:val="single"/>
                <w:lang w:val="en-US"/>
              </w:rPr>
              <w:t>ru</w:t>
            </w:r>
            <w:proofErr w:type="spellEnd"/>
          </w:p>
        </w:tc>
      </w:tr>
      <w:tr w:rsidR="00DC6E91" w:rsidRPr="00390B02" w:rsidTr="00DC6E91">
        <w:trPr>
          <w:trHeight w:val="847"/>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16</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об организации досудебного обжалования решений контрольных (надзорных) органов, действий (бездействия) их должностных лиц, в том числе:</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нет</w:t>
            </w:r>
          </w:p>
        </w:tc>
      </w:tr>
      <w:tr w:rsidR="00DC6E91" w:rsidRPr="00390B02" w:rsidTr="00DC6E91">
        <w:trPr>
          <w:trHeight w:val="469"/>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16.1.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количество должностных лиц, осуществляющих рассмотрение жалоб</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1</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17</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об аттестации граждан, привлекаемых при осуществлении государственного контроля (надзора), муниципального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0</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17.1.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количество аттестованных граждан</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18</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0</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18.1.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количество аккредитованных ЮЛ</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0</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sz w:val="20"/>
              </w:rPr>
            </w:pPr>
          </w:p>
        </w:tc>
        <w:tc>
          <w:tcPr>
            <w:tcW w:w="1458" w:type="pct"/>
            <w:hideMark/>
          </w:tcPr>
          <w:p w:rsidR="00DC6E91" w:rsidRPr="00390B02" w:rsidRDefault="00DC6E91" w:rsidP="00EE2642">
            <w:pPr>
              <w:rPr>
                <w:rFonts w:ascii="Times New Roman" w:hAnsi="Times New Roman" w:cs="Times New Roman"/>
                <w:sz w:val="20"/>
              </w:rPr>
            </w:pPr>
          </w:p>
        </w:tc>
        <w:tc>
          <w:tcPr>
            <w:tcW w:w="487" w:type="pct"/>
            <w:hideMark/>
          </w:tcPr>
          <w:p w:rsidR="00DC6E91" w:rsidRPr="00390B02" w:rsidRDefault="00DC6E91" w:rsidP="00EE2642">
            <w:pPr>
              <w:rPr>
                <w:rFonts w:ascii="Times New Roman" w:hAnsi="Times New Roman" w:cs="Times New Roman"/>
                <w:sz w:val="20"/>
              </w:rPr>
            </w:pPr>
          </w:p>
        </w:tc>
        <w:tc>
          <w:tcPr>
            <w:tcW w:w="2762" w:type="pct"/>
            <w:hideMark/>
          </w:tcPr>
          <w:p w:rsidR="00DC6E91" w:rsidRPr="00390B02" w:rsidRDefault="00DC6E91" w:rsidP="00EE2642">
            <w:pPr>
              <w:rPr>
                <w:rFonts w:ascii="Times New Roman" w:hAnsi="Times New Roman" w:cs="Times New Roman"/>
                <w:sz w:val="20"/>
              </w:rPr>
            </w:pPr>
          </w:p>
        </w:tc>
      </w:tr>
      <w:tr w:rsidR="00DC6E91" w:rsidRPr="00390B02" w:rsidTr="00EE2642">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II</w:t>
            </w:r>
          </w:p>
        </w:tc>
        <w:tc>
          <w:tcPr>
            <w:tcW w:w="4707" w:type="pct"/>
            <w:gridSpan w:val="3"/>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Сведения об осуществлении вида государственного контроля (надзора), муниципального контроля</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19</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02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20</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21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78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22</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53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23</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24</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среднее количество контрольных (надзорных) мероприятий, проведенных в отношении одного контролируемого лица</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204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25</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90B02">
              <w:rPr>
                <w:rFonts w:ascii="Times New Roman" w:hAnsi="Times New Roman" w:cs="Times New Roman"/>
                <w:sz w:val="20"/>
              </w:rPr>
              <w:lastRenderedPageBreak/>
              <w:t>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487"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0</w:t>
            </w:r>
          </w:p>
        </w:tc>
        <w:tc>
          <w:tcPr>
            <w:tcW w:w="2762"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w:t>
            </w:r>
          </w:p>
        </w:tc>
      </w:tr>
      <w:tr w:rsidR="00DC6E91" w:rsidRPr="00390B02" w:rsidTr="00DC6E91">
        <w:trPr>
          <w:trHeight w:val="41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26</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27</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02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28</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02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29</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78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30</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487"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w:t>
            </w:r>
          </w:p>
        </w:tc>
        <w:tc>
          <w:tcPr>
            <w:tcW w:w="2762"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w:t>
            </w:r>
          </w:p>
        </w:tc>
      </w:tr>
      <w:tr w:rsidR="00DC6E91" w:rsidRPr="00390B02" w:rsidTr="00DC6E91">
        <w:trPr>
          <w:trHeight w:val="178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доля </w:t>
            </w:r>
            <w:proofErr w:type="spellStart"/>
            <w:r w:rsidRPr="00390B02">
              <w:rPr>
                <w:rFonts w:ascii="Times New Roman" w:hAnsi="Times New Roman" w:cs="Times New Roman"/>
                <w:sz w:val="20"/>
              </w:rPr>
              <w:t>контролирумых</w:t>
            </w:r>
            <w:proofErr w:type="spellEnd"/>
            <w:r w:rsidRPr="00390B02">
              <w:rPr>
                <w:rFonts w:ascii="Times New Roman" w:hAnsi="Times New Roman" w:cs="Times New Roman"/>
                <w:sz w:val="20"/>
              </w:rPr>
              <w:t xml:space="preserve">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556"/>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32</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количество случаев причинения контролируемыми лицами вреда (жизни и здоровью граждан, вреда животным, растениям, окружающей среде, объектам </w:t>
            </w:r>
            <w:r w:rsidRPr="00390B02">
              <w:rPr>
                <w:rFonts w:ascii="Times New Roman" w:hAnsi="Times New Roman" w:cs="Times New Roman"/>
                <w:sz w:val="20"/>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lastRenderedPageBreak/>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33</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34</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отношение суммы взысканных административных штрафов к общей сумме наложенных административных штрафов (в процентах)</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35</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средний размер наложенного административного штрафа в том числе на должностных лиц и юридических лиц (в тыс. рублей)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02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36</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02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37</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38</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487" w:type="pct"/>
            <w:noWrap/>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noWrap/>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39</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78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40</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02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42</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сведения о количестве проведенных в отчетном периоде </w:t>
            </w:r>
            <w:proofErr w:type="spellStart"/>
            <w:r w:rsidRPr="00390B02">
              <w:rPr>
                <w:rFonts w:ascii="Times New Roman" w:hAnsi="Times New Roman" w:cs="Times New Roman"/>
                <w:sz w:val="20"/>
              </w:rPr>
              <w:t>контрльных</w:t>
            </w:r>
            <w:proofErr w:type="spellEnd"/>
            <w:r w:rsidRPr="00390B02">
              <w:rPr>
                <w:rFonts w:ascii="Times New Roman" w:hAnsi="Times New Roman" w:cs="Times New Roman"/>
                <w:sz w:val="20"/>
              </w:rPr>
              <w:t xml:space="preserve"> (надзорных) </w:t>
            </w:r>
            <w:proofErr w:type="spellStart"/>
            <w:r w:rsidRPr="00390B02">
              <w:rPr>
                <w:rFonts w:ascii="Times New Roman" w:hAnsi="Times New Roman" w:cs="Times New Roman"/>
                <w:sz w:val="20"/>
              </w:rPr>
              <w:t>меропритяий</w:t>
            </w:r>
            <w:proofErr w:type="spellEnd"/>
            <w:r w:rsidRPr="00390B02">
              <w:rPr>
                <w:rFonts w:ascii="Times New Roman" w:hAnsi="Times New Roman" w:cs="Times New Roman"/>
                <w:sz w:val="20"/>
              </w:rPr>
              <w:t xml:space="preserve"> (проверок) в отношении субъектов малого предпринимательства</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43</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487"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w:t>
            </w:r>
          </w:p>
        </w:tc>
        <w:tc>
          <w:tcPr>
            <w:tcW w:w="2762"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44</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45</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 решениях контрольных (надзорных) органов</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46</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об исполнении решений контрольных (надзорных) органов</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127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47</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sz w:val="20"/>
              </w:rPr>
            </w:pPr>
          </w:p>
        </w:tc>
        <w:tc>
          <w:tcPr>
            <w:tcW w:w="1458" w:type="pct"/>
            <w:hideMark/>
          </w:tcPr>
          <w:p w:rsidR="00DC6E91" w:rsidRPr="00390B02" w:rsidRDefault="00DC6E91" w:rsidP="00EE2642">
            <w:pPr>
              <w:rPr>
                <w:rFonts w:ascii="Times New Roman" w:hAnsi="Times New Roman" w:cs="Times New Roman"/>
                <w:sz w:val="20"/>
              </w:rPr>
            </w:pPr>
          </w:p>
        </w:tc>
        <w:tc>
          <w:tcPr>
            <w:tcW w:w="487" w:type="pct"/>
            <w:hideMark/>
          </w:tcPr>
          <w:p w:rsidR="00DC6E91" w:rsidRPr="00390B02" w:rsidRDefault="00DC6E91" w:rsidP="00EE2642">
            <w:pPr>
              <w:rPr>
                <w:rFonts w:ascii="Times New Roman" w:hAnsi="Times New Roman" w:cs="Times New Roman"/>
                <w:sz w:val="20"/>
              </w:rPr>
            </w:pPr>
          </w:p>
        </w:tc>
        <w:tc>
          <w:tcPr>
            <w:tcW w:w="2762" w:type="pct"/>
            <w:hideMark/>
          </w:tcPr>
          <w:p w:rsidR="00DC6E91" w:rsidRPr="00390B02" w:rsidRDefault="00DC6E91" w:rsidP="00EE2642">
            <w:pPr>
              <w:rPr>
                <w:rFonts w:ascii="Times New Roman" w:hAnsi="Times New Roman" w:cs="Times New Roman"/>
                <w:sz w:val="20"/>
              </w:rPr>
            </w:pPr>
          </w:p>
        </w:tc>
      </w:tr>
      <w:tr w:rsidR="00DC6E91" w:rsidRPr="00390B02" w:rsidTr="00EE2642">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III</w:t>
            </w:r>
          </w:p>
        </w:tc>
        <w:tc>
          <w:tcPr>
            <w:tcW w:w="4707" w:type="pct"/>
            <w:gridSpan w:val="3"/>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Сведения о результативности и эффективности</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48</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об индикативных показателях вида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49</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sz w:val="20"/>
              </w:rPr>
            </w:pPr>
          </w:p>
        </w:tc>
        <w:tc>
          <w:tcPr>
            <w:tcW w:w="1458" w:type="pct"/>
            <w:hideMark/>
          </w:tcPr>
          <w:p w:rsidR="00DC6E91" w:rsidRPr="00390B02" w:rsidRDefault="00DC6E91" w:rsidP="00EE2642">
            <w:pPr>
              <w:rPr>
                <w:rFonts w:ascii="Times New Roman" w:hAnsi="Times New Roman" w:cs="Times New Roman"/>
                <w:sz w:val="20"/>
              </w:rPr>
            </w:pPr>
          </w:p>
        </w:tc>
        <w:tc>
          <w:tcPr>
            <w:tcW w:w="487" w:type="pct"/>
            <w:hideMark/>
          </w:tcPr>
          <w:p w:rsidR="00DC6E91" w:rsidRPr="00390B02" w:rsidRDefault="00DC6E91" w:rsidP="00EE2642">
            <w:pPr>
              <w:rPr>
                <w:rFonts w:ascii="Times New Roman" w:hAnsi="Times New Roman" w:cs="Times New Roman"/>
                <w:sz w:val="20"/>
              </w:rPr>
            </w:pPr>
          </w:p>
        </w:tc>
        <w:tc>
          <w:tcPr>
            <w:tcW w:w="2762" w:type="pct"/>
            <w:hideMark/>
          </w:tcPr>
          <w:p w:rsidR="00DC6E91" w:rsidRPr="00390B02" w:rsidRDefault="00DC6E91" w:rsidP="00EE2642">
            <w:pPr>
              <w:rPr>
                <w:rFonts w:ascii="Times New Roman" w:hAnsi="Times New Roman" w:cs="Times New Roman"/>
                <w:sz w:val="20"/>
              </w:rPr>
            </w:pPr>
          </w:p>
        </w:tc>
      </w:tr>
      <w:tr w:rsidR="00DC6E91" w:rsidRPr="00390B02" w:rsidTr="00EE2642">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IV</w:t>
            </w:r>
          </w:p>
        </w:tc>
        <w:tc>
          <w:tcPr>
            <w:tcW w:w="4707" w:type="pct"/>
            <w:gridSpan w:val="3"/>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Финансовое и кадровое обеспечение государственного контроля (надзора), муниципального контроля</w:t>
            </w:r>
          </w:p>
        </w:tc>
      </w:tr>
      <w:tr w:rsidR="00DC6E91" w:rsidRPr="00390B02" w:rsidTr="00DC6E91">
        <w:trPr>
          <w:trHeight w:val="127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50</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51</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3</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3</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52</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сведения о квалификации работников, о мероприятиях по повышению их квалификации</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51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lastRenderedPageBreak/>
              <w:t>53</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данные о средней нагрузке на 1 работника по фактически выполненному в отчетный период объему функций по контролю</w:t>
            </w:r>
          </w:p>
        </w:tc>
        <w:tc>
          <w:tcPr>
            <w:tcW w:w="487"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w:t>
            </w:r>
          </w:p>
        </w:tc>
        <w:tc>
          <w:tcPr>
            <w:tcW w:w="2762"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0</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54</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0</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sz w:val="20"/>
              </w:rPr>
            </w:pPr>
          </w:p>
        </w:tc>
        <w:tc>
          <w:tcPr>
            <w:tcW w:w="1458" w:type="pct"/>
            <w:hideMark/>
          </w:tcPr>
          <w:p w:rsidR="00DC6E91" w:rsidRPr="00390B02" w:rsidRDefault="00DC6E91" w:rsidP="00EE2642">
            <w:pPr>
              <w:rPr>
                <w:rFonts w:ascii="Times New Roman" w:hAnsi="Times New Roman" w:cs="Times New Roman"/>
                <w:sz w:val="20"/>
              </w:rPr>
            </w:pPr>
          </w:p>
        </w:tc>
        <w:tc>
          <w:tcPr>
            <w:tcW w:w="487" w:type="pct"/>
            <w:hideMark/>
          </w:tcPr>
          <w:p w:rsidR="00DC6E91" w:rsidRPr="00390B02" w:rsidRDefault="00DC6E91" w:rsidP="00EE2642">
            <w:pPr>
              <w:rPr>
                <w:rFonts w:ascii="Times New Roman" w:hAnsi="Times New Roman" w:cs="Times New Roman"/>
                <w:sz w:val="20"/>
              </w:rPr>
            </w:pPr>
          </w:p>
        </w:tc>
        <w:tc>
          <w:tcPr>
            <w:tcW w:w="2762" w:type="pct"/>
            <w:hideMark/>
          </w:tcPr>
          <w:p w:rsidR="00DC6E91" w:rsidRPr="00390B02" w:rsidRDefault="00DC6E91" w:rsidP="00EE2642">
            <w:pPr>
              <w:rPr>
                <w:rFonts w:ascii="Times New Roman" w:hAnsi="Times New Roman" w:cs="Times New Roman"/>
                <w:sz w:val="20"/>
              </w:rPr>
            </w:pPr>
          </w:p>
        </w:tc>
      </w:tr>
      <w:tr w:rsidR="00DC6E91" w:rsidRPr="00390B02" w:rsidTr="00EE2642">
        <w:trPr>
          <w:trHeight w:val="300"/>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V</w:t>
            </w:r>
          </w:p>
        </w:tc>
        <w:tc>
          <w:tcPr>
            <w:tcW w:w="4707" w:type="pct"/>
            <w:gridSpan w:val="3"/>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Выводы и предложения по итогам организации и осуществления вида контроля</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55</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r>
      <w:tr w:rsidR="00DC6E91" w:rsidRPr="00390B02" w:rsidTr="00DC6E91">
        <w:trPr>
          <w:trHeight w:val="76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56</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r>
      <w:tr w:rsidR="00DC6E91" w:rsidRPr="00390B02" w:rsidTr="00DC6E91">
        <w:trPr>
          <w:trHeight w:val="415"/>
        </w:trPr>
        <w:tc>
          <w:tcPr>
            <w:tcW w:w="293" w:type="pct"/>
            <w:hideMark/>
          </w:tcPr>
          <w:p w:rsidR="00DC6E91" w:rsidRPr="00390B02" w:rsidRDefault="00DC6E91" w:rsidP="00EE2642">
            <w:pPr>
              <w:rPr>
                <w:rFonts w:ascii="Times New Roman" w:hAnsi="Times New Roman" w:cs="Times New Roman"/>
                <w:b/>
                <w:bCs/>
                <w:sz w:val="20"/>
              </w:rPr>
            </w:pPr>
            <w:r w:rsidRPr="00390B02">
              <w:rPr>
                <w:rFonts w:ascii="Times New Roman" w:hAnsi="Times New Roman" w:cs="Times New Roman"/>
                <w:b/>
                <w:bCs/>
                <w:sz w:val="20"/>
              </w:rPr>
              <w:t>57</w:t>
            </w:r>
          </w:p>
        </w:tc>
        <w:tc>
          <w:tcPr>
            <w:tcW w:w="1458"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487"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c>
          <w:tcPr>
            <w:tcW w:w="2762" w:type="pct"/>
            <w:hideMark/>
          </w:tcPr>
          <w:p w:rsidR="00DC6E91" w:rsidRPr="00390B02" w:rsidRDefault="00DC6E91" w:rsidP="00EE2642">
            <w:pPr>
              <w:rPr>
                <w:rFonts w:ascii="Times New Roman" w:hAnsi="Times New Roman" w:cs="Times New Roman"/>
                <w:sz w:val="20"/>
              </w:rPr>
            </w:pPr>
            <w:r w:rsidRPr="00390B02">
              <w:rPr>
                <w:rFonts w:ascii="Times New Roman" w:hAnsi="Times New Roman" w:cs="Times New Roman"/>
                <w:sz w:val="20"/>
              </w:rPr>
              <w:t> </w:t>
            </w:r>
          </w:p>
        </w:tc>
      </w:tr>
      <w:tr w:rsidR="00DC6E91" w:rsidRPr="00390B02" w:rsidTr="00DC6E91">
        <w:trPr>
          <w:trHeight w:val="300"/>
        </w:trPr>
        <w:tc>
          <w:tcPr>
            <w:tcW w:w="293" w:type="pct"/>
            <w:hideMark/>
          </w:tcPr>
          <w:p w:rsidR="00DC6E91" w:rsidRPr="00390B02" w:rsidRDefault="00DC6E91" w:rsidP="00EE2642">
            <w:pPr>
              <w:rPr>
                <w:rFonts w:ascii="Times New Roman" w:hAnsi="Times New Roman" w:cs="Times New Roman"/>
                <w:sz w:val="20"/>
              </w:rPr>
            </w:pPr>
          </w:p>
        </w:tc>
        <w:tc>
          <w:tcPr>
            <w:tcW w:w="1458" w:type="pct"/>
            <w:hideMark/>
          </w:tcPr>
          <w:p w:rsidR="00DC6E91" w:rsidRPr="00390B02" w:rsidRDefault="00DC6E91" w:rsidP="00EE2642">
            <w:pPr>
              <w:rPr>
                <w:rFonts w:ascii="Times New Roman" w:hAnsi="Times New Roman" w:cs="Times New Roman"/>
                <w:sz w:val="20"/>
              </w:rPr>
            </w:pPr>
          </w:p>
        </w:tc>
        <w:tc>
          <w:tcPr>
            <w:tcW w:w="487" w:type="pct"/>
            <w:hideMark/>
          </w:tcPr>
          <w:p w:rsidR="00DC6E91" w:rsidRPr="00390B02" w:rsidRDefault="00DC6E91" w:rsidP="00EE2642">
            <w:pPr>
              <w:rPr>
                <w:rFonts w:ascii="Times New Roman" w:hAnsi="Times New Roman" w:cs="Times New Roman"/>
                <w:sz w:val="20"/>
              </w:rPr>
            </w:pPr>
          </w:p>
        </w:tc>
        <w:tc>
          <w:tcPr>
            <w:tcW w:w="2762" w:type="pct"/>
            <w:hideMark/>
          </w:tcPr>
          <w:p w:rsidR="00DC6E91" w:rsidRPr="00390B02" w:rsidRDefault="00DC6E91" w:rsidP="00EE2642">
            <w:pPr>
              <w:rPr>
                <w:rFonts w:ascii="Times New Roman" w:hAnsi="Times New Roman" w:cs="Times New Roman"/>
                <w:sz w:val="20"/>
              </w:rPr>
            </w:pPr>
          </w:p>
        </w:tc>
      </w:tr>
    </w:tbl>
    <w:p w:rsidR="00DC0734" w:rsidRDefault="00DC0734">
      <w:bookmarkStart w:id="0" w:name="_GoBack"/>
      <w:bookmarkEnd w:id="0"/>
    </w:p>
    <w:sectPr w:rsidR="00DC0734" w:rsidSect="00DC6E91">
      <w:pgSz w:w="16837" w:h="11905" w:orient="landscape"/>
      <w:pgMar w:top="1134" w:right="1134" w:bottom="851"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91"/>
    <w:rsid w:val="001327AB"/>
    <w:rsid w:val="001E4F00"/>
    <w:rsid w:val="00DC0734"/>
    <w:rsid w:val="00DC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DF1A2-EF01-4380-9183-E21708CF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Жаркова</dc:creator>
  <cp:keywords/>
  <dc:description/>
  <cp:lastModifiedBy>Ирина Жаркова</cp:lastModifiedBy>
  <cp:revision>1</cp:revision>
  <dcterms:created xsi:type="dcterms:W3CDTF">2022-03-29T08:00:00Z</dcterms:created>
  <dcterms:modified xsi:type="dcterms:W3CDTF">2022-03-29T08:01:00Z</dcterms:modified>
</cp:coreProperties>
</file>